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6632d1_8k.htm"/>
      <w:bookmarkStart w:id="1" w:name="kstm2626632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929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Star Holdings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270"/>
        <w:gridCol w:w="60"/>
        <w:gridCol w:w="1145"/>
        <w:gridCol w:w="60"/>
        <w:gridCol w:w="1970"/>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929"/>
            <w:bookmarkEnd w:id="6"/>
            <w:r>
              <w:rPr>
                <w:rFonts w:ascii="Times New Roman;Times;Serif" w:hAnsi="Times New Roman;Times;Serif"/>
                <w:b/>
                <w:sz w:val="20"/>
              </w:rPr>
              <w:t>001-41572</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37-6762818</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4405" w:type="dxa"/>
        <w:jc w:val="left"/>
        <w:tblInd w:w="0" w:type="dxa"/>
        <w:tblLayout w:type="fixed"/>
        <w:tblCellMar>
          <w:top w:w="0" w:type="dxa"/>
          <w:left w:w="0" w:type="dxa"/>
          <w:bottom w:w="0" w:type="dxa"/>
          <w:right w:w="0" w:type="dxa"/>
        </w:tblCellMar>
      </w:tblPr>
      <w:tblGrid>
        <w:gridCol w:w="3290"/>
        <w:gridCol w:w="60"/>
        <w:gridCol w:w="6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One Penn Plaza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AddressLine2_"/>
            <w:bookmarkEnd w:id="9"/>
            <w:r>
              <w:rPr>
                <w:rFonts w:ascii="Times New Roman;Times;Serif" w:hAnsi="Times New Roman;Times;Serif"/>
                <w:b/>
                <w:i w:val="false"/>
                <w:caps w:val="false"/>
                <w:smallCaps w:val="false"/>
                <w:sz w:val="20"/>
              </w:rPr>
              <w:t>51st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New York, </w:t>
            </w:r>
            <w:bookmarkStart w:id="11" w:name="xdx_90D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4_edei--EntityAddressPostalZipCode"/>
            <w:bookmarkEnd w:id="12"/>
            <w:r>
              <w:rPr>
                <w:rFonts w:ascii="Times New Roman;Times;Serif" w:hAnsi="Times New Roman;Times;Serif"/>
                <w:b/>
                <w:sz w:val="20"/>
              </w:rPr>
              <w:t>10119</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929__20"/>
      <w:bookmarkEnd w:id="13"/>
      <w:r>
        <w:rPr>
          <w:rFonts w:ascii="Times New Roman;Times;Serif" w:hAnsi="Times New Roman;Times;Serif"/>
          <w:b/>
          <w:i w:val="false"/>
          <w:caps w:val="false"/>
          <w:smallCaps w:val="false"/>
          <w:sz w:val="20"/>
        </w:rPr>
        <w:t xml:space="preserve">212) </w:t>
      </w:r>
      <w:bookmarkStart w:id="14" w:name="xdx_90E_edei--LocalPhoneNumber_c20260929"/>
      <w:bookmarkEnd w:id="14"/>
      <w:r>
        <w:rPr>
          <w:rFonts w:ascii="Times New Roman;Times;Serif" w:hAnsi="Times New Roman;Times;Serif"/>
          <w:b/>
          <w:i w:val="false"/>
          <w:caps w:val="false"/>
          <w:smallCaps w:val="false"/>
          <w:sz w:val="20"/>
        </w:rPr>
        <w:t>930-9400</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1114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F_edei--SolicitingMaterial_c202609"/>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4490"/>
        <w:gridCol w:w="60"/>
        <w:gridCol w:w="860"/>
        <w:gridCol w:w="60"/>
        <w:gridCol w:w="2015"/>
      </w:tblGrid>
      <w:tr>
        <w:trPr/>
        <w:tc>
          <w:tcPr>
            <w:tcW w:w="44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Security12bTitle_c20260929"/>
            <w:bookmarkEnd w:id="19"/>
            <w:r>
              <w:rPr>
                <w:rFonts w:ascii="Times New Roman;Times;Serif" w:hAnsi="Times New Roman;Times;Serif"/>
                <w:sz w:val="20"/>
              </w:rPr>
              <w:t>Common shares of beneficial interest, $0.001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929__2"/>
            <w:bookmarkEnd w:id="20"/>
            <w:r>
              <w:rPr>
                <w:rFonts w:ascii="Times New Roman;Times;Serif" w:hAnsi="Times New Roman;Times;Serif"/>
                <w:sz w:val="20"/>
              </w:rPr>
              <w:t>STHO</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9_edei--SecurityExchangeName_c2026"/>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Wingdings" w:hAnsi="Wingdings"/>
          <w:b w:val="false"/>
          <w:i w:val="false"/>
          <w:caps w:val="false"/>
          <w:smallCaps w:val="false"/>
          <w:sz w:val="20"/>
        </w:rPr>
        <w:t>x</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70" w:type="dxa"/>
        <w:jc w:val="left"/>
        <w:tblInd w:w="0" w:type="dxa"/>
        <w:tblLayout w:type="fixed"/>
        <w:tblCellMar>
          <w:top w:w="0" w:type="dxa"/>
          <w:left w:w="0" w:type="dxa"/>
          <w:bottom w:w="0" w:type="dxa"/>
          <w:right w:w="0" w:type="dxa"/>
        </w:tblCellMar>
      </w:tblPr>
      <w:tblGrid>
        <w:gridCol w:w="875"/>
        <w:gridCol w:w="369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Star Holdings (the "Company") entered into amendments to the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Credit Agreement with Safehold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 borrower, and Safehold Inc. ("Safehold"), as lender, entered into the Third Amendment to Amended and Restated Credit Agreement (the "Third Amendment"). The Third Amendment, among other things: (i) extends the maturity date of the underlying term loan facilities by one year, to March 31, 2029, with the option for the Company to extend the maturity date to September 30, 2029, subject to the satisfaction of certain conditions, including the payment of an extension fee equal to 0.5% of the then outstanding loans, and with the interest rate on outstanding borrowings increasing 1.0% per annum during the extension period; (ii) permits Star Holdings to make one or more voluntary prepayments of up to $50.0 million in the aggregate, plus the amount of any restricted cash held by the margin loan lender on its margin loan facility that is currently secured by all of the shares of Safehold common stock owned by Star Holdings; and (iii) provides a new restricted payments basket that will permit the Company to repurchase up to $10.0 million of its common shares for cash after the Company has prepaid its margin loan facility by at least $40.0 million (exclusive of prepayments using restricted cash held by the margin loan lender). The Company has agreed that it will not make any additional borrowings under the margin loan facility. In connection with the Third Amendment, the Company paid Safehold a maturity extension fee of $2.4 million. As of September 29, 2026, the outstanding term loan had a principal balance of $115.0 million and no outstanding borrowings on the incremental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Agreement with Safehold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Safehold Management Services Inc. (the "Manager"), a wholly-owned subsidiary of Safehold, entered into the Second Amendment to Management Agreement (the "Second Amendment") pursuant to which (i) the management fee payable in respect of the annual terms running from April 1, 2027 through March 31, 2028 and April 1, 2028 through March 31, 2029 will be subject to minimum quarterly amounts of $1.25 million and $625,000, respectively; (ii) the "Termination Fee" payable to the Manager in certain circumstances has been increased from $55.0 million to $62.5 million, in each case less the aggregate amount of management fees paid prior to the termination date; and (iii) the period during which a termination of the Management Agreement by the Company without cause would require payment of the Termination Fee has been extended to March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Third Amendment and the Second Amendment and of the agreements being amended do not purport to be complete and are qualified in their entirety by reference to the full text of those agreements, which are included or incorporated by reference as exhibits to this Current Report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75"/>
        <w:gridCol w:w="219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voluntarily paid down the outstanding balance on its margin loan facility from $94.5 million to $46.5 million primarily using approximately $30.0 million of asset sale proceeds and $18.0 million of restricted cash held by the margin loan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bottom w:val="single" w:sz="8" w:space="0" w:color="FFFFFF"/>
            </w:tcBorders>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Credit Agreement, dated as of March 31, 2023, by and between Safehold Inc. and Star Holdings. (Incorporated by reference to Exhibit 10.1 to the Quarterly Report on Form 10-Q filed on May 11, 2023).</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First Amendment to Amended and Restated Credit Agreement, dated as of October 4, 2023, by and between Safehold Inc. and Star Holdings. (Incorporated by reference to Exhibit 10.2 to the Current Report on Form 8-K filed on October 6, 2023).</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Second Amendment to Amended and Restated Credit Agreement, dated as of March 28, 2025, by and between Safehold Inc. and Star Holdings.  (Incorporated by reference to Exhibit 10.3 to the Current Report on Form 8-K filed on March 31, 2025).</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w:anchor="tm2626632d1_ex10-4.htm">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6632d1_ex10-4.htm">
              <w:r>
                <w:rPr>
                  <w:rStyle w:val="InternetLink"/>
                  <w:rFonts w:ascii="Times New Roman;Times;Serif" w:hAnsi="Times New Roman;Times;Serif"/>
                  <w:sz w:val="20"/>
                </w:rPr>
                <w:t>Third Amendment to Amended and Restated Credit Agreement, dated as of September 29, 2026, between Safehold Inc. and Star Holdings.</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Management Agreement, dated as of March 31, 2023, by and between Star Holdings and Safehold Management Services Inc. (Incorporated by reference to Exhibit 10.1 to the Current Report on Form 8-K filed on March 31, 2023).</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First Amendment to Management Agreement, dated as of March 28, 2025, by and between Star Holdings and Safehold Management Services Inc.  (Incorporated by reference to Exhibit 10.5 to Current Report on Form 8-K filed on March 31, 2025).</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w:anchor="tm2626632d1_ex10-7.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6632d1_ex10-7.htm">
              <w:r>
                <w:rPr>
                  <w:rStyle w:val="InternetLink"/>
                  <w:rFonts w:ascii="Times New Roman;Times;Serif" w:hAnsi="Times New Roman;Times;Serif"/>
                  <w:sz w:val="20"/>
                </w:rPr>
                <w:t>Second Amendment to Management Agreement, dated as of September 29, 2026, between Star Holdings and Safehold Management Services Inc.</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75"/>
        <w:gridCol w:w="320"/>
        <w:gridCol w:w="545"/>
        <w:gridCol w:w="4130"/>
      </w:tblGrid>
      <w:tr>
        <w:trPr/>
        <w:tc>
          <w:tcPr>
            <w:tcW w:w="75" w:type="dxa"/>
            <w:tcBorders/>
            <w:vAlign w:val="center"/>
          </w:tcPr>
          <w:p>
            <w:pPr>
              <w:pStyle w:val="TableContents"/>
              <w:bidi w:val="0"/>
              <w:spacing w:before="0" w:after="283"/>
              <w:jc w:val="left"/>
              <w:rPr/>
            </w:pPr>
            <w:r>
              <w:rPr/>
              <w:t> </w:t>
            </w:r>
          </w:p>
        </w:tc>
        <w:tc>
          <w:tcPr>
            <w:tcW w:w="49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49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4" w:name="tm2626632d1_ex10-4.htm"/>
      <w:bookmarkStart w:id="25" w:name="kstm2626632d1_ex104"/>
      <w:bookmarkEnd w:id="24"/>
      <w:bookmarkEnd w:id="25"/>
      <w:r>
        <w:rPr/>
        <w:t> </w:t>
      </w:r>
      <w:r>
        <w:br w:type="page"/>
      </w:r>
    </w:p>
    <w:p>
      <w:pPr>
        <w:pStyle w:val="TextBody"/>
        <w:bidi w:val="0"/>
        <w:spacing w:before="0" w:after="0"/>
        <w:ind w:left="0" w:right="0" w:hanging="0"/>
        <w:jc w:val="right"/>
        <w:rPr>
          <w:b/>
        </w:rPr>
      </w:pPr>
      <w:r>
        <w:rPr>
          <w:b/>
        </w:rPr>
        <w:t>Exhibit 10.4</w:t>
      </w:r>
    </w:p>
    <w:p>
      <w:pPr>
        <w:pStyle w:val="TextBody"/>
        <w:bidi w:val="0"/>
        <w:spacing w:before="0" w:after="0"/>
        <w:ind w:left="0" w:right="0" w:hanging="0"/>
        <w:jc w:val="left"/>
        <w:rPr/>
      </w:pPr>
      <w:r>
        <w:rPr/>
        <w:t> </w:t>
      </w:r>
    </w:p>
    <w:p>
      <w:pPr>
        <w:pStyle w:val="TextBody"/>
        <w:bidi w:val="0"/>
        <w:spacing w:before="0" w:after="0"/>
        <w:ind w:left="0" w:right="0" w:hanging="0"/>
        <w:jc w:val="right"/>
        <w:rPr>
          <w:b/>
        </w:rPr>
      </w:pPr>
      <w:r>
        <w:rPr>
          <w:b/>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w:t>
        <w:br/>
        <w:t>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THIRD AMENDMENT TO AMENDED AND RESTATED CREDIT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 xml:space="preserve">Amendment” </w:t>
      </w:r>
      <w:r>
        <w:rPr>
          <w:rFonts w:ascii="Times New Roman;Times;Serif" w:hAnsi="Times New Roman;Times;Serif"/>
          <w:b w:val="false"/>
          <w:i w:val="false"/>
          <w:caps w:val="false"/>
          <w:smallCaps w:val="false"/>
          <w:sz w:val="20"/>
        </w:rPr>
        <w:t>or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xml:space="preserve">) is dated as of September 29, 2026, is entered into by </w:t>
      </w:r>
      <w:r>
        <w:rPr>
          <w:rFonts w:ascii="Times New Roman;Times;Serif" w:hAnsi="Times New Roman;Times;Serif"/>
          <w:b w:val="false"/>
          <w:i w:val="false"/>
          <w:caps/>
          <w:sz w:val="20"/>
        </w:rPr>
        <w:t>STAR HOLDINGS</w:t>
      </w:r>
      <w:r>
        <w:rPr>
          <w:rFonts w:ascii="Times New Roman;Times;Serif" w:hAnsi="Times New Roman;Times;Serif"/>
          <w:b w:val="false"/>
          <w:i w:val="false"/>
          <w:caps w:val="false"/>
          <w:smallCaps w:val="false"/>
          <w:sz w:val="20"/>
        </w:rPr>
        <w:t>, a Maryland statutory trust (together with its successors and permitted assigns,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SAFEHOLD INC.</w:t>
      </w:r>
      <w:r>
        <w:rPr>
          <w:rFonts w:ascii="Times New Roman;Times;Serif" w:hAnsi="Times New Roman;Times;Serif"/>
          <w:b w:val="false"/>
          <w:i w:val="false"/>
          <w:caps w:val="false"/>
          <w:smallCaps w:val="false"/>
          <w:sz w:val="20"/>
        </w:rPr>
        <w:t>, a Maryland corporation (together with its successors and permitted assigns,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xml:space="preserve">”), and is made with reference to that certain </w:t>
      </w:r>
      <w:r>
        <w:rPr>
          <w:rFonts w:ascii="Times New Roman;Times;Serif" w:hAnsi="Times New Roman;Times;Serif"/>
          <w:b/>
          <w:i w:val="false"/>
          <w:caps w:val="false"/>
          <w:smallCaps w:val="false"/>
          <w:sz w:val="20"/>
        </w:rPr>
        <w:t>AMENDED AND RESTATED CREDIT AGREEMENT,</w:t>
      </w:r>
      <w:r>
        <w:rPr>
          <w:rFonts w:ascii="Times New Roman;Times;Serif" w:hAnsi="Times New Roman;Times;Serif"/>
          <w:b w:val="false"/>
          <w:i w:val="false"/>
          <w:caps w:val="false"/>
          <w:smallCaps w:val="false"/>
          <w:sz w:val="20"/>
        </w:rPr>
        <w:t xml:space="preserve"> dated as of March 31, 2023 (as amended, restated, amended and restated, supplemented or otherwise modified from time to time prior to the date hereof,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and as amended by this Amendment, the “</w:t>
      </w:r>
      <w:r>
        <w:rPr>
          <w:rFonts w:ascii="Times New Roman;Times;Serif" w:hAnsi="Times New Roman;Times;Serif"/>
          <w:b/>
          <w:i w:val="false"/>
          <w:caps w:val="false"/>
          <w:smallCaps w:val="false"/>
          <w:sz w:val="20"/>
        </w:rPr>
        <w:t>Amended Credit Agreement</w:t>
      </w:r>
      <w:r>
        <w:rPr>
          <w:rFonts w:ascii="Times New Roman;Times;Serif" w:hAnsi="Times New Roman;Times;Serif"/>
          <w:b w:val="false"/>
          <w:i w:val="false"/>
          <w:caps w:val="false"/>
          <w:smallCaps w:val="false"/>
          <w:sz w:val="20"/>
        </w:rPr>
        <w:t>”), by and among the Borrower and the Lender. Capitalized terms used herein without definition shall have the same meanings herein as set forth in the Credit Agreement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the Lender’s consent to make one or more voluntary prepayments of the Margin Loan Facility from and after the Third Amendment Effective Date of up to $50.0 million in the aggregate plus the amount of restricted cash held by the lender under the Margin Loan Facility from time to time (the “</w:t>
      </w:r>
      <w:r>
        <w:rPr>
          <w:rFonts w:ascii="Times New Roman;Times;Serif" w:hAnsi="Times New Roman;Times;Serif"/>
          <w:b/>
          <w:i w:val="false"/>
          <w:caps w:val="false"/>
          <w:smallCaps w:val="false"/>
          <w:sz w:val="20"/>
        </w:rPr>
        <w:t>Third Amendment Consent Request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pursuant to Section 9.02(b) of the Credit Agreement, that certain provisions of the Credit Agreement be amended as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and the Lender desire to amend the Credit Agreement on the terms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agreements, provisions and covenants herein contained, the parties hereto agree as follows effective as of the Third Amendment Effective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I. </w:t>
      </w:r>
      <w:r>
        <w:rPr>
          <w:rFonts w:ascii="Times New Roman;Times;Serif" w:hAnsi="Times New Roman;Times;Serif"/>
          <w:b/>
          <w:i w:val="false"/>
          <w:caps/>
          <w:sz w:val="20"/>
        </w:rPr>
        <w:t>Consent;</w:t>
      </w:r>
      <w:r>
        <w:rPr>
          <w:rFonts w:ascii="Times New Roman;Times;Serif" w:hAnsi="Times New Roman;Times;Serif"/>
          <w:b/>
          <w:i w:val="false"/>
          <w:caps w:val="false"/>
          <w:smallCaps w:val="false"/>
          <w:sz w:val="20"/>
        </w:rPr>
        <w:t xml:space="preser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Subject to the satisfaction of the conditions set forth in Section II below, the Lender hereby irrevocably agrees to the terms of the Third Amendment Consent Request. Such agreement and authorization by the Lender shall be irrevocably binding on any of the Lender’s subsequent transferees, participants, successors and assigns with respect to the Lender’s Loans or unused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parties hereto further agree that the Credit Agreement shall hereby be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following definitions appearing in Section 1.01 of the Credit Agreement is hereby added or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(a) 8.00% per annum at any time other than during the Extension Period, (b) 9.00% per annum at any time during the Extension Period, or (c) to the extent any Loan remains outstanding under an Incremental Facility at such time, 10.00%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has the meaning specified in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Period</w:t>
      </w:r>
      <w:r>
        <w:rPr>
          <w:rFonts w:ascii="Times New Roman;Times;Serif" w:hAnsi="Times New Roman;Times;Serif"/>
          <w:b w:val="false"/>
          <w:i w:val="false"/>
          <w:caps w:val="false"/>
          <w:smallCaps w:val="false"/>
          <w:sz w:val="20"/>
        </w:rPr>
        <w:t>” means the period from and including April 1, 2029 to and including September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March 31, 2029; provided, however, that if the Extension Option is exercised by the Borrower, “Maturity Date” shall mean September 30, 2029 (except that, in each case if such date is not a Business Day, the Maturity Date shall be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to Extend</w:t>
      </w:r>
      <w:r>
        <w:rPr>
          <w:rFonts w:ascii="Times New Roman;Times;Serif" w:hAnsi="Times New Roman;Times;Serif"/>
          <w:b w:val="false"/>
          <w:i w:val="false"/>
          <w:caps w:val="false"/>
          <w:smallCaps w:val="false"/>
          <w:sz w:val="20"/>
        </w:rPr>
        <w:t>” has the meaning specified in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2.06(a)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The Borrower may, upon notice to the Lender, at any time and from time to time prepay the Loans in whole or in part without premium or penalty, subject to the requirements of this Section; provided, however, that each prepayment may not be in an amount less than the lesser of (i) $20.0 million or (ii) the then Outstanding Amount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new Section 2.15 is hereby added to the Credit Agreement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Extension of Maturity Date</w:t>
      </w:r>
      <w:r>
        <w:rPr>
          <w:rFonts w:ascii="Times New Roman;Times;Serif" w:hAnsi="Times New Roman;Times;Serif"/>
          <w:b w:val="false"/>
          <w:i w:val="false"/>
          <w:caps w:val="false"/>
          <w:smallCaps w:val="false"/>
          <w:sz w:val="20"/>
        </w:rPr>
        <w:t>. The Borrower shall have the option (the “</w:t>
      </w:r>
      <w:r>
        <w:rPr>
          <w:rFonts w:ascii="Times New Roman;Times;Serif" w:hAnsi="Times New Roman;Times;Serif"/>
          <w:b/>
          <w:i w:val="false"/>
          <w:caps w:val="false"/>
          <w:smallCaps w:val="false"/>
          <w:sz w:val="20"/>
        </w:rPr>
        <w:t>Extension Option</w:t>
      </w:r>
      <w:r>
        <w:rPr>
          <w:rFonts w:ascii="Times New Roman;Times;Serif" w:hAnsi="Times New Roman;Times;Serif"/>
          <w:b w:val="false"/>
          <w:i w:val="false"/>
          <w:caps w:val="false"/>
          <w:smallCaps w:val="false"/>
          <w:sz w:val="20"/>
        </w:rPr>
        <w:t>”) to extend the Maturity Date. Subject to the conditions set forth below, the Borrower may exercise the Extension Option by delivering a written notice to the Lender not more than (90) days and not less than thirty (30) days prior to March 31, 2029 (a “</w:t>
      </w:r>
      <w:r>
        <w:rPr>
          <w:rFonts w:ascii="Times New Roman;Times;Serif" w:hAnsi="Times New Roman;Times;Serif"/>
          <w:b/>
          <w:i w:val="false"/>
          <w:caps w:val="false"/>
          <w:smallCaps w:val="false"/>
          <w:sz w:val="20"/>
        </w:rPr>
        <w:t>Notice to Extend</w:t>
      </w:r>
      <w:r>
        <w:rPr>
          <w:rFonts w:ascii="Times New Roman;Times;Serif" w:hAnsi="Times New Roman;Times;Serif"/>
          <w:b w:val="false"/>
          <w:i w:val="false"/>
          <w:caps w:val="false"/>
          <w:smallCaps w:val="false"/>
          <w:sz w:val="20"/>
        </w:rPr>
        <w:t>”), stating that the Borrower has elected to extend the Maturity Date to September 30, 2029. The Borrower’s right to exercise the Extension Option shall be subject to the following terms and conditions: (i) there shall exist no Default or Event of Default on both (x) the date the Borrower delivers the Notice to Extend to the Lender and (y) on March 31, 2029, (ii) the Borrower shall have paid to Lender not less than five days before March 31, 2029 an extension fee equal to 0.5% of the then Outstanding Amount of the Loans, and (iii) without limiting the conditions set forth in the foregoing clause (i), the Borrower shall have delivered to the Lender a duly completed certificate signed by a Responsible Officer, dated as of the date of the Notice to Extend, certifying that no Default or Event of Default exists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6.11(a) of the Credit Agreement is hereby amended by adding the following subclause (z) to the end of the Section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(z) the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6.01(b)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outstanding on the date hereof and listed on Schedule 6.01 and any refinancings, refundings, renewals or extensions thereof; provided, however, that (i) after the Third Amendment Effective Date, Borrower shall not, and shall not permit any Subsidiary to, request or receive any additional Advances under the Margin Loan Facility (including Delayed Draw Advances), as such terms are defined under the Margin Loan Facility; and (ii) the amount of such Indebtedness is not increased at the time of such refinancing, refunding, renewal or extension except by an amount equal to a reasonable premium or other reasonable amount paid, and fees and expenses reasonably incurred, in connection with such refinancing in connection with such refinancing; provided further that, for the avoidance of doubt, the capitalization of accrued interest as principal under the Margin Loan Facility pursuant to any payment-in-kind election permitted by the terms of the Margin Loan Facility as in effect on the Third Amendment Effective Date shall not constitute an Advance or an increase in Indebtedness prohibited by this Section 6.01(b).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6.05(c) of the Credit Agreement is hereby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purchase, redeem or otherwise acquire Equity Interests issued by it for aggregate payments in cash not to exceed $10,000,000 beginning after the date on which the Margin Loan Borrower has paid down the amounts outstanding on the Margin Loan Facility by at least $40.0 million (in addition to, and exclusive of, any restricted cash held by the lender under the Margin Loan Facility applied to such paydown) pursuant to the Third Amendment Consent Request; provided that, following such prepayment, such amounts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II.  CONDITIONS TO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is subject to the satisfaction or waiver by the Lender of the following conditions (the date upon which all of such conditions are satisfied or waived, the “</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(or its counsel) shall have received a counterpart signature page to this Amendment, duly executed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received payment in full of a maturity extension fee of $2.4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Borrower contained in Section III below and ‎Article III of the Credit Agreement or any other Loan Document shall be true and correct in all material respects (and in all respects if any such representation or warranty is already qualified by materiality) on and as of the Third Amendment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or Event of Default shall exist, or would result from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 his capacity as a Responsible Officer of the Borrower and not in any individual capacity, hereby certifies that, as of the date first written above, the conditions set forth in the foregoing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III.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execution of this Amendment, the Borrower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Borrower of this Amendment has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the Borrower is a party or affecting the Borrower or the properties of the Borrower or any Subsidiary or (ii) any material order, injunction, writ or decree of any Governmental Authority or any arbitral award to which the Borrower or any Subsidiary or its property is subject or (c) violate any Law in any material respect;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Amendment has been duly executed and delivered by the Borrower and constitutes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Reference to and Effect on the Credit Agreement and the Other Loan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and after the Third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the consent, waiver, amendments and modifications expressly set forth herein, the Credit Agreement and the other Loan Documents shall remain unchanged and in full force and effect and are hereby ratified and confirmed and this Amendment shall not be considered a novation. The consent, waiver, amendments and modifications set forth herein are limited to the specifics hereof (including facts or occurrences on which the same are based), shall not apply with respect to any facts or occurrences other than those on which the 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the Borrower remains subject to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execution, delivery and performance of this Amendment shall not, except as expressly provided herein, constitute a waiver of any provision of, or operate as a waiver of any right, power or remedy of the Lender under, the Credit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hereby (a) affirms and confirms its guarantees, pledges, grants and other undertakings under the Credit Agreement and the other Loan Documents to which it is a party, and (b) agrees that (i) each Loan Document to which it is a party shall continue to be in full force and effect and (ii) all guarantees, pledges, grants and other undertakings thereunder shall continue to be in full force and effect and shall accrue to the benefit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This Amendment shall be deemed to be a Loan Document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Section and subsection headings in this Amendment are included herein for convenience of reference only and shall not constitute a part of this Amendment for any other purpose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AMENDMENT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 xml:space="preserve">. The provisions of Sections 9.09 and 9.10 of the Credit Agreement pertaining to consent to jurisdiction, service of process and waiver of jury trial are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Borrower hereby confirms that the indemnification provisions set forth in Section 9.03(b) of the Credit Agreement shall apply to this Amendment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and by different parties hereto in separate counterparts, each of which when so executed and delivered shall be deemed an original, but all such counterparts together shall constitute one and the same instrument; signature pages may be detached from multiple separate counterparts and attached to a single counterpart so that all signature pages are deemed attached to the same document. Delivery of an executed counterpart of a signature page of this Amendment by facsimile or in electronic format (e.g. “pdf” or “tif” file format) shall be effective as delivery of a manually executed counterpart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such provision shall be interpreted to be only so broad as would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Amendment to be duly executed and delivered by their respective officers thereunto duly authorized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590"/>
        <w:gridCol w:w="2075"/>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Asnas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Asnas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SAFEHOLD INC.,</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Lender</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Trachtenberg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Trachtenberg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6632d1_ex10-7.htm"/>
      <w:bookmarkStart w:id="27" w:name="kstm2626632d1_ex107"/>
      <w:bookmarkEnd w:id="26"/>
      <w:bookmarkEnd w:id="27"/>
      <w:r>
        <w:rPr/>
        <w:t> </w:t>
      </w:r>
      <w:r>
        <w:br w:type="page"/>
      </w:r>
    </w:p>
    <w:p>
      <w:pPr>
        <w:pStyle w:val="TextBody"/>
        <w:bidi w:val="0"/>
        <w:jc w:val="right"/>
        <w:rPr>
          <w:b/>
        </w:rPr>
      </w:pPr>
      <w:r>
        <w:rPr>
          <w:b/>
        </w:rPr>
        <w:t>Exhibit 10.7</w:t>
      </w:r>
    </w:p>
    <w:p>
      <w:pPr>
        <w:pStyle w:val="TextBody"/>
        <w:bidi w:val="0"/>
        <w:spacing w:before="0" w:after="283"/>
        <w:jc w:val="lef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MANAGEMENT AGREEMENT is entered into as of September 29, 2026 by and among STAR HOLDINGS, a Maryland statutory trust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SAFEHOLD MANAGEMENT SERVICES INC., a Delaware corporation (with its permitted assigns,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Capitalized terms used but not otherwise defined herein have the meanings set forth in the Existing Management Agreement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Manager have previously entered into the Management Agreement, dated as of March 31, 2023, as amended by the First Amendment to Management Agreement, dated as of March 28, 2025 (the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Manager have agreed to amend certain terms of the Existing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and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definition of "Management Fee" in </w:t>
      </w:r>
      <w:r>
        <w:rPr>
          <w:rFonts w:ascii="Times New Roman;Times;Serif" w:hAnsi="Times New Roman;Times;Serif"/>
          <w:b w:val="false"/>
          <w:i w:val="false"/>
          <w:caps w:val="false"/>
          <w:smallCaps w:val="false"/>
          <w:sz w:val="20"/>
          <w:u w:val="single"/>
        </w:rPr>
        <w:t>Section 1(y)</w:t>
      </w:r>
      <w:r>
        <w:rPr>
          <w:rFonts w:ascii="Times New Roman;Times;Serif" w:hAnsi="Times New Roman;Times;Serif"/>
          <w:b w:val="false"/>
          <w:i w:val="false"/>
          <w:caps w:val="false"/>
          <w:smallCaps w:val="false"/>
          <w:sz w:val="20"/>
        </w:rPr>
        <w:t> of the Existing Management Agreement is hereby amended by replacing the row for the period "Thereafter" with new rows for a Fourth Annual Renewal Term, a Fifth Annual Renewal Term and Thereafter,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8" w:type="dxa"/>
          <w:left w:w="108" w:type="dxa"/>
          <w:bottom w:w="10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Annual Term</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Annual Fee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Fourth Annual Renewal Term</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2.0% of the gross book value of SpinCo's Assets, excluding shares of common stock or other securities of SAFE, as of the end of each fiscal quarter, as reported in its SEC filings (the </w:t>
            </w:r>
            <w:r>
              <w:rPr>
                <w:rFonts w:ascii="Times New Roman;Times;Serif" w:hAnsi="Times New Roman;Times;Serif"/>
                <w:b/>
                <w:sz w:val="20"/>
              </w:rPr>
              <w:t>"2.0% Base Fee"</w:t>
            </w:r>
            <w:r>
              <w:rPr>
                <w:rFonts w:ascii="Times New Roman;Times;Serif" w:hAnsi="Times New Roman;Times;Serif"/>
                <w:sz w:val="20"/>
              </w:rPr>
              <w:t>), subject to a minimum quarterly fee for each quarter of $1.25 million, prorated for any period in such quarter in which this Agreement is not in effect.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Fifth Annual Renewal Term</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2.0% Base Fee, subject to a minimum quarterly fee for each quarter of $625,000,  prorated for any period in such quarter in which this Agreement is not in effect. </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Thereafter</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 Base Fee.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definition of "Termination Fee" in </w:t>
      </w:r>
      <w:r>
        <w:rPr>
          <w:rFonts w:ascii="Times New Roman;Times;Serif" w:hAnsi="Times New Roman;Times;Serif"/>
          <w:b w:val="false"/>
          <w:i w:val="false"/>
          <w:caps w:val="false"/>
          <w:smallCaps w:val="false"/>
          <w:sz w:val="20"/>
          <w:u w:val="single"/>
        </w:rPr>
        <w:t>Section 1(mm)</w:t>
      </w:r>
      <w:r>
        <w:rPr>
          <w:rFonts w:ascii="Times New Roman;Times;Serif" w:hAnsi="Times New Roman;Times;Serif"/>
          <w:b w:val="false"/>
          <w:i w:val="false"/>
          <w:caps w:val="false"/>
          <w:smallCaps w:val="false"/>
          <w:sz w:val="20"/>
        </w:rPr>
        <w:t xml:space="preserve"> of the Existing Management Agreement is hereby amended by changing the amount in clause (i)(x) of such definition from $55.0 million to </w:t>
      </w:r>
      <w:r>
        <w:rPr>
          <w:rFonts w:ascii="Times New Roman;Times;Serif" w:hAnsi="Times New Roman;Times;Serif"/>
          <w:b w:val="false"/>
          <w:i w:val="false"/>
          <w:caps w:val="false"/>
          <w:smallCaps w:val="false"/>
          <w:sz w:val="20"/>
          <w:u w:val="single"/>
        </w:rPr>
        <w:t>$62.5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14(b) of the Existing Management Agreement is hereby amended by replacing the words "prior to the fourth anniversary of the Spin-Off" with the words "prior to the sixth anniversary of the Spin-Off".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and the rights and obligations of the parties under this Amendment shall be governed by, and construed and interpreted in accordance with, the laws of the State of New York without regard to conflicts of law principles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In the event of a conflict between the terms and conditions of this Amendment and the terms and conditions of the Existing Management Agreement, such conflict shall be resolved in favor of the terms and conditions of this Amendment and the Existing Management Agreement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modified hereby, the Existing Management Agreement remain in full force and effect in accordance with its terms and is hereby ratified and confirmed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shall be deemed an original as against any party whose signature appears thereon, and all of which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Facsimile/PDF Signatures</w:t>
      </w:r>
      <w:r>
        <w:rPr>
          <w:rFonts w:ascii="Times New Roman;Times;Serif" w:hAnsi="Times New Roman;Times;Serif"/>
          <w:b w:val="false"/>
          <w:i w:val="false"/>
          <w:caps w:val="false"/>
          <w:smallCaps w:val="false"/>
          <w:sz w:val="20"/>
        </w:rPr>
        <w:t>. In order to expedite the transaction contemplated herein, telecopied, facsimile, or .pdf (exchanged via e-mail) signatures may be used in place of original signatures on this Amendment. The parties intend to be bound by the signatures on the telecopied, facsimile or pdf document, are aware that the other parties will rely on the telecopied, facsimile or .pdf signatures, and hereby waive any defenses to the enforcement of the terms of this Amendment based on the form of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Amendment shall be binding upon and inure to the benefit of the parties hereto and their respective heirs, legal representatives, successors and permitted assignees.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b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hereto have duly executed this Second Amendment to Management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Asnas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Brett Asnas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SAFEHOLD MANAGEMENT SERVICES INC.</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Trachtenberg</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Trachtenberg</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366/000155837023009450/stho-20230331xex10d1.htm" TargetMode="External"/><Relationship Id="rId3" Type="http://schemas.openxmlformats.org/officeDocument/2006/relationships/hyperlink" Target="https://www.sec.gov/Archives/edgar/data/1953366/000155837023009450/stho-20230331xex10d1.htm" TargetMode="External"/><Relationship Id="rId4" Type="http://schemas.openxmlformats.org/officeDocument/2006/relationships/hyperlink" Target="https://www.sec.gov/Archives/edgar/data/1953366/000110465923107353/tm2327916d1_ex10-2.htm" TargetMode="External"/><Relationship Id="rId5" Type="http://schemas.openxmlformats.org/officeDocument/2006/relationships/hyperlink" Target="https://www.sec.gov/Archives/edgar/data/1953366/000110465923107353/tm2327916d1_ex10-2.htm" TargetMode="External"/><Relationship Id="rId6" Type="http://schemas.openxmlformats.org/officeDocument/2006/relationships/hyperlink" Target="https://www.sec.gov/Archives/edgar/data/1953366/000110465925029620/tm2510731d1_ex10-3.htm" TargetMode="External"/><Relationship Id="rId7" Type="http://schemas.openxmlformats.org/officeDocument/2006/relationships/hyperlink" Target="https://www.sec.gov/Archives/edgar/data/1953366/000110465925029620/tm2510731d1_ex10-3.htm" TargetMode="External"/><Relationship Id="rId8" Type="http://schemas.openxmlformats.org/officeDocument/2006/relationships/hyperlink" Target="https://www.sec.gov/Archives/edgar/data/1953366/000110465923039689/tm2310755d1_ex10-1.htm" TargetMode="External"/><Relationship Id="rId9" Type="http://schemas.openxmlformats.org/officeDocument/2006/relationships/hyperlink" Target="https://www.sec.gov/Archives/edgar/data/1953366/000110465923039689/tm2310755d1_ex10-1.htm" TargetMode="External"/><Relationship Id="rId10" Type="http://schemas.openxmlformats.org/officeDocument/2006/relationships/hyperlink" Target="https://www.sec.gov/Archives/edgar/data/1953366/000110465925029620/tm2510731d1_ex10-5.htm" TargetMode="External"/><Relationship Id="rId11" Type="http://schemas.openxmlformats.org/officeDocument/2006/relationships/hyperlink" Target="https://www.sec.gov/Archives/edgar/data/1953366/000110465925029620/tm2510731d1_ex10-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4396</Words>
  <Characters>23001</Characters>
  <CharactersWithSpaces>27618</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